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7BAC" w14:textId="380706F0" w:rsidR="00CA4D1C" w:rsidRPr="00083B74" w:rsidRDefault="00886119" w:rsidP="00905F9F">
      <w:pPr>
        <w:jc w:val="right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62711B01" wp14:editId="32DF3528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C3C38" w14:textId="77777777" w:rsidR="00CA4D1C" w:rsidRPr="00905F9F" w:rsidRDefault="00083B74" w:rsidP="00905F9F">
      <w:pPr>
        <w:rPr>
          <w:rFonts w:ascii="Arial" w:hAnsi="Arial" w:cs="Arial"/>
          <w:b/>
          <w:sz w:val="32"/>
          <w:szCs w:val="28"/>
        </w:rPr>
      </w:pPr>
      <w:r w:rsidRPr="00905F9F">
        <w:rPr>
          <w:rFonts w:ascii="Arial" w:hAnsi="Arial" w:cs="Arial"/>
          <w:b/>
          <w:sz w:val="32"/>
          <w:szCs w:val="28"/>
        </w:rPr>
        <w:t>Job Description</w:t>
      </w:r>
    </w:p>
    <w:p w14:paraId="4A2EF5CD" w14:textId="77777777" w:rsidR="00CA4D1C" w:rsidRPr="00083B74" w:rsidRDefault="00CA4D1C" w:rsidP="00EC136B">
      <w:pPr>
        <w:rPr>
          <w:rFonts w:ascii="Arial" w:hAnsi="Arial" w:cs="Arial"/>
          <w:b/>
          <w:sz w:val="23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5736"/>
      </w:tblGrid>
      <w:tr w:rsidR="00CA4D1C" w:rsidRPr="00415FF0" w14:paraId="20B4EF5E" w14:textId="77777777" w:rsidTr="00EC136B">
        <w:tc>
          <w:tcPr>
            <w:tcW w:w="2922" w:type="dxa"/>
            <w:shd w:val="clear" w:color="auto" w:fill="DBE5F1"/>
          </w:tcPr>
          <w:p w14:paraId="0698A1ED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36" w:type="dxa"/>
          </w:tcPr>
          <w:p w14:paraId="2888BC84" w14:textId="149B9D37" w:rsidR="00CA4D1C" w:rsidRPr="00415FF0" w:rsidRDefault="007C4731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Insight Analyst</w:t>
            </w:r>
          </w:p>
        </w:tc>
      </w:tr>
      <w:tr w:rsidR="00CA4D1C" w:rsidRPr="00415FF0" w14:paraId="1B100CD3" w14:textId="77777777" w:rsidTr="00EC136B">
        <w:tc>
          <w:tcPr>
            <w:tcW w:w="2922" w:type="dxa"/>
            <w:shd w:val="clear" w:color="auto" w:fill="DBE5F1"/>
          </w:tcPr>
          <w:p w14:paraId="584FB3B3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36" w:type="dxa"/>
          </w:tcPr>
          <w:p w14:paraId="04ADCFF8" w14:textId="77777777" w:rsidR="00CA4D1C" w:rsidRPr="00415FF0" w:rsidRDefault="00545918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Planning, Performance &amp; Strategic Change</w:t>
            </w:r>
          </w:p>
        </w:tc>
      </w:tr>
      <w:tr w:rsidR="00DD691F" w:rsidRPr="00415FF0" w14:paraId="45DDF450" w14:textId="77777777" w:rsidTr="00EC136B">
        <w:tc>
          <w:tcPr>
            <w:tcW w:w="2922" w:type="dxa"/>
            <w:shd w:val="clear" w:color="auto" w:fill="DBE5F1"/>
          </w:tcPr>
          <w:p w14:paraId="51C8C92D" w14:textId="77777777" w:rsidR="00DD691F" w:rsidRPr="00415FF0" w:rsidRDefault="00DD691F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36" w:type="dxa"/>
          </w:tcPr>
          <w:p w14:paraId="1EDAAAFA" w14:textId="77777777" w:rsidR="00DD691F" w:rsidRPr="00415FF0" w:rsidRDefault="0077471E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CA4D1C" w:rsidRPr="00415FF0" w14:paraId="47A7BEC8" w14:textId="77777777" w:rsidTr="00EC136B">
        <w:tc>
          <w:tcPr>
            <w:tcW w:w="2922" w:type="dxa"/>
            <w:shd w:val="clear" w:color="auto" w:fill="DBE5F1"/>
          </w:tcPr>
          <w:p w14:paraId="6EF28371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36" w:type="dxa"/>
          </w:tcPr>
          <w:p w14:paraId="68A972D8" w14:textId="77777777" w:rsidR="00CA4D1C" w:rsidRPr="00415FF0" w:rsidRDefault="00990094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University of Bath - m</w:t>
            </w:r>
            <w:r w:rsidR="00DD691F" w:rsidRPr="00415FF0">
              <w:rPr>
                <w:rFonts w:ascii="Arial" w:hAnsi="Arial" w:cs="Arial"/>
                <w:b/>
                <w:sz w:val="22"/>
                <w:szCs w:val="22"/>
              </w:rPr>
              <w:t>ain campus</w:t>
            </w:r>
          </w:p>
        </w:tc>
      </w:tr>
    </w:tbl>
    <w:p w14:paraId="094ED13B" w14:textId="77777777" w:rsidR="00CA4D1C" w:rsidRPr="00415FF0" w:rsidRDefault="00CA4D1C" w:rsidP="00EC136B">
      <w:pPr>
        <w:rPr>
          <w:rFonts w:ascii="Arial" w:hAnsi="Arial" w:cs="Arial"/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CA4D1C" w:rsidRPr="00415FF0" w14:paraId="13A52C33" w14:textId="77777777" w:rsidTr="00EC136B">
        <w:tc>
          <w:tcPr>
            <w:tcW w:w="8658" w:type="dxa"/>
            <w:shd w:val="clear" w:color="auto" w:fill="DBE5F1"/>
          </w:tcPr>
          <w:p w14:paraId="2FBD7E5B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415FF0" w14:paraId="7F6DEA54" w14:textId="77777777" w:rsidTr="00EC136B">
        <w:tc>
          <w:tcPr>
            <w:tcW w:w="8658" w:type="dxa"/>
          </w:tcPr>
          <w:p w14:paraId="429D4A6A" w14:textId="77777777" w:rsidR="00EC136B" w:rsidRPr="00415FF0" w:rsidRDefault="00EC136B" w:rsidP="00EC13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42E063C" w14:textId="77777777" w:rsidR="00880547" w:rsidRDefault="00473831" w:rsidP="008805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 xml:space="preserve">To interpret complex data and transform it into insights which the </w:t>
            </w:r>
            <w:r w:rsidR="00102BEF" w:rsidRPr="00415FF0">
              <w:rPr>
                <w:rFonts w:ascii="Arial" w:hAnsi="Arial" w:cs="Arial"/>
                <w:sz w:val="22"/>
                <w:szCs w:val="22"/>
              </w:rPr>
              <w:t xml:space="preserve">Education and Student Experience Leadership Team (ESELT) and </w:t>
            </w:r>
            <w:r w:rsidRPr="00415FF0">
              <w:rPr>
                <w:rFonts w:ascii="Arial" w:hAnsi="Arial" w:cs="Arial"/>
                <w:sz w:val="22"/>
                <w:szCs w:val="22"/>
              </w:rPr>
              <w:t>other decision makers can act upon.</w:t>
            </w:r>
            <w:r w:rsidR="008805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0547" w:rsidRPr="00415FF0">
              <w:rPr>
                <w:rFonts w:ascii="Arial" w:hAnsi="Arial" w:cs="Arial"/>
                <w:sz w:val="22"/>
                <w:szCs w:val="22"/>
              </w:rPr>
              <w:t xml:space="preserve">The role will involve research, analysis and benchmarking, leading to the production of Power BI reports, presentations and committee papers. </w:t>
            </w:r>
          </w:p>
          <w:p w14:paraId="58EA4CA7" w14:textId="77777777" w:rsidR="00473831" w:rsidRPr="00415FF0" w:rsidRDefault="00473831" w:rsidP="00EC13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51B14EE" w14:textId="41413BC5" w:rsidR="00102BEF" w:rsidRPr="00415FF0" w:rsidRDefault="00102BEF" w:rsidP="00102B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Insight Analyst</w:t>
            </w:r>
            <w:r w:rsidR="007E65D8">
              <w:rPr>
                <w:rFonts w:ascii="Arial" w:hAnsi="Arial" w:cs="Arial"/>
                <w:sz w:val="22"/>
                <w:szCs w:val="22"/>
              </w:rPr>
              <w:t>’s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54F1">
              <w:rPr>
                <w:rFonts w:ascii="Arial" w:hAnsi="Arial" w:cs="Arial"/>
                <w:sz w:val="22"/>
                <w:szCs w:val="22"/>
              </w:rPr>
              <w:t xml:space="preserve">remit </w:t>
            </w:r>
            <w:r w:rsidR="007E65D8">
              <w:rPr>
                <w:rFonts w:ascii="Arial" w:hAnsi="Arial" w:cs="Arial"/>
                <w:sz w:val="22"/>
                <w:szCs w:val="22"/>
              </w:rPr>
              <w:t>will focus on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E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 xml:space="preserve">ducation 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&amp;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S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 xml:space="preserve">tudent 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E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>xperience (E&amp;SE)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46F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will liaise with </w:t>
            </w:r>
            <w:r w:rsidR="00C446F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15FF0">
              <w:rPr>
                <w:rFonts w:ascii="Arial" w:hAnsi="Arial" w:cs="Arial"/>
                <w:sz w:val="22"/>
                <w:szCs w:val="22"/>
              </w:rPr>
              <w:t>ESELT as well as key departments such as Academic Registry and the Centre for Learning and Teaching to enhance the depth and breadth of our data interrogation, insight and action</w:t>
            </w:r>
            <w:r w:rsidR="00702AD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F1E1F">
              <w:rPr>
                <w:rFonts w:ascii="Arial" w:hAnsi="Arial" w:cs="Arial"/>
                <w:sz w:val="22"/>
                <w:szCs w:val="22"/>
              </w:rPr>
              <w:t xml:space="preserve">The role will focus on analysis and reporting of </w:t>
            </w:r>
            <w:r w:rsidRPr="00415FF0">
              <w:rPr>
                <w:rFonts w:ascii="Arial" w:hAnsi="Arial" w:cs="Arial"/>
                <w:sz w:val="22"/>
                <w:szCs w:val="22"/>
              </w:rPr>
              <w:t>key internal and external data relating to recruitment and admissions, student records, student and graduate surveys, and university league tables.</w:t>
            </w:r>
          </w:p>
          <w:p w14:paraId="4AFEB63E" w14:textId="77777777" w:rsidR="00102BEF" w:rsidRPr="00415FF0" w:rsidRDefault="00102BEF" w:rsidP="00102B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7C69B49" w14:textId="7A41458E" w:rsidR="00C722C0" w:rsidRPr="00415FF0" w:rsidRDefault="00102BEF" w:rsidP="00EC13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446F3">
              <w:rPr>
                <w:rFonts w:ascii="Arial" w:hAnsi="Arial" w:cs="Arial"/>
                <w:sz w:val="22"/>
                <w:szCs w:val="22"/>
              </w:rPr>
              <w:t>Insight Analyst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will support a range of </w:t>
            </w:r>
            <w:r w:rsidR="00452D8F">
              <w:rPr>
                <w:rFonts w:ascii="Arial" w:hAnsi="Arial" w:cs="Arial"/>
                <w:sz w:val="22"/>
                <w:szCs w:val="22"/>
              </w:rPr>
              <w:t xml:space="preserve">E&amp;SE 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initiatives and frameworks including institutional preparation for the Teaching Excellence Framework (TEF), 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 xml:space="preserve">Access and Participation (APP) </w:t>
            </w:r>
            <w:r w:rsidRPr="00415FF0">
              <w:rPr>
                <w:rFonts w:ascii="Arial" w:hAnsi="Arial" w:cs="Arial"/>
                <w:sz w:val="22"/>
                <w:szCs w:val="22"/>
              </w:rPr>
              <w:t>K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 xml:space="preserve">ey </w:t>
            </w:r>
            <w:r w:rsidRPr="00415FF0">
              <w:rPr>
                <w:rFonts w:ascii="Arial" w:hAnsi="Arial" w:cs="Arial"/>
                <w:sz w:val="22"/>
                <w:szCs w:val="22"/>
              </w:rPr>
              <w:t>P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 xml:space="preserve">erformance </w:t>
            </w:r>
            <w:r w:rsidRPr="00415FF0">
              <w:rPr>
                <w:rFonts w:ascii="Arial" w:hAnsi="Arial" w:cs="Arial"/>
                <w:sz w:val="22"/>
                <w:szCs w:val="22"/>
              </w:rPr>
              <w:t>I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ndicators (KPIs), quality assurance processes, portfolio reviews</w:t>
            </w:r>
            <w:r w:rsidR="0033746E">
              <w:rPr>
                <w:rFonts w:ascii="Arial" w:hAnsi="Arial" w:cs="Arial"/>
                <w:sz w:val="22"/>
                <w:szCs w:val="22"/>
              </w:rPr>
              <w:t>, and horizon scanning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8EB005" w14:textId="77777777" w:rsidR="0003002B" w:rsidRDefault="0003002B" w:rsidP="008146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795F892" w14:textId="33EBF932" w:rsidR="0003002B" w:rsidRPr="00415FF0" w:rsidRDefault="0003002B" w:rsidP="008146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38AEF" w14:textId="77777777" w:rsidR="0038225F" w:rsidRPr="00415FF0" w:rsidRDefault="0038225F" w:rsidP="00EC136B">
      <w:pPr>
        <w:rPr>
          <w:rFonts w:ascii="Arial" w:hAnsi="Arial" w:cs="Arial"/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38225F" w:rsidRPr="00415FF0" w14:paraId="03D61156" w14:textId="77777777" w:rsidTr="00EC136B">
        <w:tc>
          <w:tcPr>
            <w:tcW w:w="8658" w:type="dxa"/>
            <w:shd w:val="clear" w:color="auto" w:fill="DBE5F1"/>
          </w:tcPr>
          <w:p w14:paraId="06B5B464" w14:textId="77777777" w:rsidR="0038225F" w:rsidRPr="00415FF0" w:rsidRDefault="0038225F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38225F" w:rsidRPr="00415FF0" w14:paraId="7E71FC27" w14:textId="77777777" w:rsidTr="00EC136B">
        <w:tc>
          <w:tcPr>
            <w:tcW w:w="8658" w:type="dxa"/>
          </w:tcPr>
          <w:p w14:paraId="4663BBC7" w14:textId="77777777" w:rsidR="00EC136B" w:rsidRPr="00415FF0" w:rsidRDefault="00EC136B" w:rsidP="00EC13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278939" w14:textId="3433DC52" w:rsidR="007C4731" w:rsidRPr="00415FF0" w:rsidRDefault="00326A80" w:rsidP="00EC136B">
            <w:pPr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446F3">
              <w:rPr>
                <w:rFonts w:ascii="Arial" w:hAnsi="Arial" w:cs="Arial"/>
                <w:sz w:val="22"/>
                <w:szCs w:val="22"/>
              </w:rPr>
              <w:t>Insight Analyst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will be expected to </w:t>
            </w:r>
            <w:r w:rsidR="003E1BD4">
              <w:rPr>
                <w:rFonts w:ascii="Arial" w:hAnsi="Arial" w:cs="Arial"/>
                <w:sz w:val="22"/>
                <w:szCs w:val="22"/>
              </w:rPr>
              <w:t>use their own</w:t>
            </w:r>
            <w:r w:rsidR="00A520BC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initiative on a day-to-day basis, under the overall direction and line management of </w:t>
            </w:r>
            <w:r w:rsidR="00FE7171" w:rsidRPr="00415FF0">
              <w:rPr>
                <w:rFonts w:ascii="Arial" w:hAnsi="Arial" w:cs="Arial"/>
                <w:sz w:val="22"/>
                <w:szCs w:val="22"/>
              </w:rPr>
              <w:t>S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e</w:t>
            </w:r>
            <w:r w:rsidR="00F344C1" w:rsidRPr="00415FF0">
              <w:rPr>
                <w:rFonts w:ascii="Arial" w:hAnsi="Arial" w:cs="Arial"/>
                <w:sz w:val="22"/>
                <w:szCs w:val="22"/>
              </w:rPr>
              <w:t>n</w:t>
            </w:r>
            <w:r w:rsidR="00814621" w:rsidRPr="00415FF0">
              <w:rPr>
                <w:rFonts w:ascii="Arial" w:hAnsi="Arial" w:cs="Arial"/>
                <w:sz w:val="22"/>
                <w:szCs w:val="22"/>
              </w:rPr>
              <w:t>io</w:t>
            </w:r>
            <w:r w:rsidR="00FE7171" w:rsidRPr="00415FF0">
              <w:rPr>
                <w:rFonts w:ascii="Arial" w:hAnsi="Arial" w:cs="Arial"/>
                <w:sz w:val="22"/>
                <w:szCs w:val="22"/>
              </w:rPr>
              <w:t>r Insight Analyst.</w:t>
            </w:r>
            <w:r w:rsidR="00880547">
              <w:rPr>
                <w:rFonts w:ascii="Arial" w:hAnsi="Arial" w:cs="Arial"/>
                <w:sz w:val="22"/>
                <w:szCs w:val="22"/>
              </w:rPr>
              <w:t xml:space="preserve"> The postholder will also be expected to work closely with members of the </w:t>
            </w:r>
            <w:r w:rsidR="00880547" w:rsidRPr="00880547">
              <w:rPr>
                <w:rFonts w:ascii="Arial" w:hAnsi="Arial" w:cs="Arial"/>
                <w:sz w:val="22"/>
                <w:szCs w:val="22"/>
              </w:rPr>
              <w:t>ESELT</w:t>
            </w:r>
            <w:r w:rsidR="00880547">
              <w:rPr>
                <w:rFonts w:ascii="Arial" w:hAnsi="Arial" w:cs="Arial"/>
                <w:sz w:val="22"/>
                <w:szCs w:val="22"/>
              </w:rPr>
              <w:t xml:space="preserve"> who will determine the priorities for specific data related projects. </w:t>
            </w:r>
          </w:p>
          <w:p w14:paraId="36C837EF" w14:textId="77777777" w:rsidR="00A44564" w:rsidRPr="00415FF0" w:rsidRDefault="00A44564" w:rsidP="00EC13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698C7" w14:textId="19573CC2" w:rsidR="0038225F" w:rsidRDefault="001F0D17" w:rsidP="00EC136B">
            <w:pPr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>When working on</w:t>
            </w:r>
            <w:r w:rsidR="00F07724" w:rsidRPr="00415FF0">
              <w:rPr>
                <w:rFonts w:ascii="Arial" w:hAnsi="Arial" w:cs="Arial"/>
                <w:sz w:val="22"/>
                <w:szCs w:val="22"/>
              </w:rPr>
              <w:t xml:space="preserve"> independent projects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="00C446F3">
              <w:rPr>
                <w:rFonts w:ascii="Arial" w:hAnsi="Arial" w:cs="Arial"/>
                <w:sz w:val="22"/>
                <w:szCs w:val="22"/>
              </w:rPr>
              <w:t>Insight Analyst</w:t>
            </w:r>
            <w:r w:rsidR="00496870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FF0">
              <w:rPr>
                <w:rFonts w:ascii="Arial" w:hAnsi="Arial" w:cs="Arial"/>
                <w:sz w:val="22"/>
                <w:szCs w:val="22"/>
              </w:rPr>
              <w:t>will be ex</w:t>
            </w:r>
            <w:r w:rsidR="00F07724" w:rsidRPr="00415FF0">
              <w:rPr>
                <w:rFonts w:ascii="Arial" w:hAnsi="Arial" w:cs="Arial"/>
                <w:sz w:val="22"/>
                <w:szCs w:val="22"/>
              </w:rPr>
              <w:t xml:space="preserve">pected to use </w:t>
            </w:r>
            <w:r w:rsidR="00D3668B" w:rsidRPr="00415FF0">
              <w:rPr>
                <w:rFonts w:ascii="Arial" w:hAnsi="Arial" w:cs="Arial"/>
                <w:sz w:val="22"/>
                <w:szCs w:val="22"/>
              </w:rPr>
              <w:t>their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 own judgement regarding the referral</w:t>
            </w:r>
            <w:r w:rsidR="00F07724" w:rsidRPr="00415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5FF0">
              <w:rPr>
                <w:rFonts w:ascii="Arial" w:hAnsi="Arial" w:cs="Arial"/>
                <w:sz w:val="22"/>
                <w:szCs w:val="22"/>
              </w:rPr>
              <w:t>of issues that may be contentious or carry with them the risk of financial or reputational damage to the University.</w:t>
            </w:r>
          </w:p>
          <w:p w14:paraId="4AAE1BC2" w14:textId="77777777" w:rsidR="0003002B" w:rsidRPr="00415FF0" w:rsidRDefault="0003002B" w:rsidP="00EC13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FD2AD" w14:textId="77777777" w:rsidR="00EC136B" w:rsidRPr="00415FF0" w:rsidRDefault="00EC136B" w:rsidP="00EC1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3650B" w14:textId="77777777" w:rsidR="0038225F" w:rsidRPr="00415FF0" w:rsidRDefault="0038225F" w:rsidP="00EC136B">
      <w:pPr>
        <w:rPr>
          <w:rFonts w:ascii="Arial" w:hAnsi="Arial" w:cs="Arial"/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38225F" w:rsidRPr="00415FF0" w14:paraId="64D3378D" w14:textId="77777777" w:rsidTr="00EC136B">
        <w:tc>
          <w:tcPr>
            <w:tcW w:w="8658" w:type="dxa"/>
            <w:shd w:val="clear" w:color="auto" w:fill="DBE5F1"/>
          </w:tcPr>
          <w:p w14:paraId="2FA84105" w14:textId="77777777" w:rsidR="0038225F" w:rsidRPr="00415FF0" w:rsidRDefault="0038225F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38225F" w:rsidRPr="00415FF0" w14:paraId="244B9E49" w14:textId="77777777" w:rsidTr="00EC136B">
        <w:trPr>
          <w:trHeight w:val="439"/>
        </w:trPr>
        <w:tc>
          <w:tcPr>
            <w:tcW w:w="8658" w:type="dxa"/>
          </w:tcPr>
          <w:p w14:paraId="16071B27" w14:textId="77777777" w:rsidR="00EC136B" w:rsidRPr="00415FF0" w:rsidRDefault="00EC136B" w:rsidP="00EC136B">
            <w:pPr>
              <w:pStyle w:val="BodyText2"/>
              <w:rPr>
                <w:szCs w:val="22"/>
              </w:rPr>
            </w:pPr>
          </w:p>
          <w:p w14:paraId="29A97578" w14:textId="3D6EAEED" w:rsidR="0038225F" w:rsidRDefault="0038225F" w:rsidP="00EC136B">
            <w:pPr>
              <w:pStyle w:val="BodyText2"/>
              <w:rPr>
                <w:szCs w:val="22"/>
              </w:rPr>
            </w:pPr>
            <w:r w:rsidRPr="00415FF0">
              <w:rPr>
                <w:szCs w:val="22"/>
              </w:rPr>
              <w:t>N</w:t>
            </w:r>
            <w:r w:rsidR="00B07C45" w:rsidRPr="00415FF0">
              <w:rPr>
                <w:szCs w:val="22"/>
              </w:rPr>
              <w:t xml:space="preserve">o direct line management responsibility.  However, the </w:t>
            </w:r>
            <w:r w:rsidR="00C446F3">
              <w:rPr>
                <w:szCs w:val="22"/>
              </w:rPr>
              <w:t>Insight Analyst</w:t>
            </w:r>
            <w:r w:rsidR="00496870" w:rsidRPr="00415FF0">
              <w:rPr>
                <w:szCs w:val="22"/>
              </w:rPr>
              <w:t xml:space="preserve"> </w:t>
            </w:r>
            <w:r w:rsidR="00B07C45" w:rsidRPr="00415FF0">
              <w:rPr>
                <w:szCs w:val="22"/>
              </w:rPr>
              <w:t xml:space="preserve">will </w:t>
            </w:r>
            <w:r w:rsidR="00D3668B" w:rsidRPr="00415FF0">
              <w:rPr>
                <w:szCs w:val="22"/>
              </w:rPr>
              <w:t xml:space="preserve">be expected to collaborate with and coordinate inputs from cross-functional teams. </w:t>
            </w:r>
          </w:p>
          <w:p w14:paraId="03CFE62C" w14:textId="77777777" w:rsidR="0003002B" w:rsidRPr="00415FF0" w:rsidRDefault="0003002B" w:rsidP="00EC136B">
            <w:pPr>
              <w:pStyle w:val="BodyText2"/>
              <w:rPr>
                <w:szCs w:val="22"/>
              </w:rPr>
            </w:pPr>
          </w:p>
          <w:p w14:paraId="650C4F50" w14:textId="77777777" w:rsidR="00EC136B" w:rsidRPr="00415FF0" w:rsidRDefault="00EC136B" w:rsidP="00EC136B">
            <w:pPr>
              <w:pStyle w:val="BodyText2"/>
              <w:rPr>
                <w:szCs w:val="22"/>
              </w:rPr>
            </w:pPr>
          </w:p>
        </w:tc>
      </w:tr>
    </w:tbl>
    <w:p w14:paraId="0404116B" w14:textId="65385CEC" w:rsidR="0003002B" w:rsidRDefault="0003002B" w:rsidP="00EC136B">
      <w:pPr>
        <w:rPr>
          <w:rFonts w:ascii="Arial" w:hAnsi="Arial" w:cs="Arial"/>
          <w:sz w:val="22"/>
          <w:szCs w:val="22"/>
        </w:rPr>
      </w:pPr>
    </w:p>
    <w:p w14:paraId="619D28F0" w14:textId="77777777" w:rsidR="006A29D6" w:rsidRPr="00415FF0" w:rsidRDefault="0003002B" w:rsidP="00EC1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8186"/>
      </w:tblGrid>
      <w:tr w:rsidR="00CA4D1C" w:rsidRPr="00415FF0" w14:paraId="0DDD9C45" w14:textId="77777777" w:rsidTr="00EC136B">
        <w:tc>
          <w:tcPr>
            <w:tcW w:w="8658" w:type="dxa"/>
            <w:gridSpan w:val="2"/>
            <w:shd w:val="clear" w:color="auto" w:fill="DBE5F1"/>
          </w:tcPr>
          <w:p w14:paraId="2B1CE082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Main duties and responsibilities </w:t>
            </w:r>
          </w:p>
        </w:tc>
      </w:tr>
      <w:tr w:rsidR="00CA4D1C" w:rsidRPr="00415FF0" w14:paraId="164E59D2" w14:textId="77777777" w:rsidTr="00EC136B">
        <w:tc>
          <w:tcPr>
            <w:tcW w:w="472" w:type="dxa"/>
          </w:tcPr>
          <w:p w14:paraId="09C0A9A8" w14:textId="77777777" w:rsidR="00CA4D1C" w:rsidRPr="00415FF0" w:rsidRDefault="002074C0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86" w:type="dxa"/>
          </w:tcPr>
          <w:p w14:paraId="3F395A6A" w14:textId="0371F231" w:rsidR="00CA4D1C" w:rsidRPr="00415FF0" w:rsidRDefault="00814621" w:rsidP="00EC136B">
            <w:pPr>
              <w:pStyle w:val="Default"/>
              <w:rPr>
                <w:b/>
                <w:sz w:val="22"/>
                <w:szCs w:val="22"/>
              </w:rPr>
            </w:pPr>
            <w:r w:rsidRPr="00415FF0">
              <w:rPr>
                <w:b/>
                <w:sz w:val="22"/>
                <w:szCs w:val="22"/>
              </w:rPr>
              <w:t>D</w:t>
            </w:r>
            <w:r w:rsidR="0090358F" w:rsidRPr="00415FF0">
              <w:rPr>
                <w:b/>
                <w:sz w:val="22"/>
                <w:szCs w:val="22"/>
              </w:rPr>
              <w:t>ata</w:t>
            </w:r>
            <w:r w:rsidR="002B1542" w:rsidRPr="00415FF0">
              <w:rPr>
                <w:b/>
                <w:sz w:val="22"/>
                <w:szCs w:val="22"/>
              </w:rPr>
              <w:t xml:space="preserve"> analysis</w:t>
            </w:r>
          </w:p>
        </w:tc>
      </w:tr>
      <w:tr w:rsidR="00A13D79" w:rsidRPr="00415FF0" w14:paraId="172B749E" w14:textId="77777777" w:rsidTr="00EC136B">
        <w:tc>
          <w:tcPr>
            <w:tcW w:w="472" w:type="dxa"/>
          </w:tcPr>
          <w:p w14:paraId="56D88170" w14:textId="77777777" w:rsidR="00A13D79" w:rsidRPr="00415FF0" w:rsidRDefault="00A13D79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6" w:type="dxa"/>
          </w:tcPr>
          <w:p w14:paraId="6EC720FD" w14:textId="77777777" w:rsidR="00880547" w:rsidRPr="00880547" w:rsidRDefault="00880547" w:rsidP="0088054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0F58B41" w14:textId="6D8B780A" w:rsidR="00237470" w:rsidRPr="00415FF0" w:rsidRDefault="007C4731" w:rsidP="0081462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</w:t>
            </w:r>
            <w:r w:rsidR="00D3668B"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llate, </w:t>
            </w:r>
            <w:r w:rsidR="00880547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curate</w:t>
            </w: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and analyse information from a variety of </w:t>
            </w:r>
            <w:r w:rsidR="00237470"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internal and </w:t>
            </w:r>
            <w:r w:rsidR="00F344C1"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external </w:t>
            </w:r>
            <w:r w:rsidR="00237470"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data </w:t>
            </w:r>
            <w:r w:rsidR="0088020C"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sources</w:t>
            </w:r>
            <w:r w:rsidR="009E3EA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relating to Education &amp; Student Experience</w:t>
            </w:r>
          </w:p>
          <w:p w14:paraId="55CA3C22" w14:textId="77777777" w:rsidR="00496870" w:rsidRDefault="00496870" w:rsidP="004968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Apply a variety of analytical approaches (e.g. descriptive, diagnostic, predictive, prescriptive) to solve problems and answer questions. </w:t>
            </w:r>
          </w:p>
          <w:p w14:paraId="19FBBE20" w14:textId="32997686" w:rsidR="00880547" w:rsidRPr="00415FF0" w:rsidRDefault="00880547" w:rsidP="0088054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Provide competitor analysis and benchmarking to identify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strengths, weaknesses, </w:t>
            </w: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opportunities and threats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concerning</w:t>
            </w: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the University’s education portfolio</w:t>
            </w:r>
          </w:p>
          <w:p w14:paraId="1125EF29" w14:textId="4820B536" w:rsidR="00496870" w:rsidRPr="00415FF0" w:rsidRDefault="007C4731" w:rsidP="004968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>Pr</w:t>
            </w:r>
            <w:r w:rsidR="00365B20">
              <w:rPr>
                <w:rFonts w:ascii="Arial" w:hAnsi="Arial" w:cs="Arial"/>
                <w:sz w:val="22"/>
                <w:szCs w:val="22"/>
                <w:lang w:eastAsia="en-GB"/>
              </w:rPr>
              <w:t>oduce</w:t>
            </w:r>
            <w:r w:rsidR="0088054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3668B" w:rsidRPr="00415FF0">
              <w:rPr>
                <w:rFonts w:ascii="Arial" w:hAnsi="Arial" w:cs="Arial"/>
                <w:sz w:val="22"/>
                <w:szCs w:val="22"/>
                <w:lang w:eastAsia="en-GB"/>
              </w:rPr>
              <w:t>insights</w:t>
            </w:r>
            <w:r w:rsidR="00880547">
              <w:rPr>
                <w:rFonts w:ascii="Arial" w:hAnsi="Arial" w:cs="Arial"/>
                <w:sz w:val="22"/>
                <w:szCs w:val="22"/>
                <w:lang w:eastAsia="en-GB"/>
              </w:rPr>
              <w:t>, solutions</w:t>
            </w: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A44564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</w:t>
            </w:r>
            <w:r w:rsidR="00880547"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  <w:r w:rsidR="00A44564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ctionable recommendations </w:t>
            </w:r>
            <w:r w:rsidR="00CD0AC3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for consideration </w:t>
            </w: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by the </w:t>
            </w:r>
            <w:r w:rsidR="00496870" w:rsidRPr="00415FF0">
              <w:rPr>
                <w:rFonts w:ascii="Arial" w:hAnsi="Arial" w:cs="Arial"/>
                <w:sz w:val="22"/>
                <w:szCs w:val="22"/>
                <w:lang w:eastAsia="en-GB"/>
              </w:rPr>
              <w:t>ESELT and other decision makers</w:t>
            </w:r>
          </w:p>
          <w:p w14:paraId="6F163C35" w14:textId="3A542BBE" w:rsidR="00880547" w:rsidRDefault="00814621" w:rsidP="0088054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3002B">
              <w:rPr>
                <w:rFonts w:ascii="Arial" w:hAnsi="Arial" w:cs="Arial"/>
                <w:sz w:val="22"/>
                <w:szCs w:val="22"/>
                <w:lang w:eastAsia="en-GB"/>
              </w:rPr>
              <w:t>Prepare briefing</w:t>
            </w:r>
            <w:r w:rsidR="00880547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Pr="0003002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for </w:t>
            </w:r>
            <w:r w:rsidR="00880547">
              <w:rPr>
                <w:rFonts w:ascii="Arial" w:hAnsi="Arial" w:cs="Arial"/>
                <w:sz w:val="22"/>
                <w:szCs w:val="22"/>
                <w:lang w:eastAsia="en-GB"/>
              </w:rPr>
              <w:t xml:space="preserve">ESELT and other </w:t>
            </w:r>
            <w:r w:rsidRPr="0003002B">
              <w:rPr>
                <w:rFonts w:ascii="Arial" w:hAnsi="Arial" w:cs="Arial"/>
                <w:sz w:val="22"/>
                <w:szCs w:val="22"/>
                <w:lang w:eastAsia="en-GB"/>
              </w:rPr>
              <w:t>senior manage</w:t>
            </w:r>
            <w:r w:rsidR="00880547">
              <w:rPr>
                <w:rFonts w:ascii="Arial" w:hAnsi="Arial" w:cs="Arial"/>
                <w:sz w:val="22"/>
                <w:szCs w:val="22"/>
                <w:lang w:eastAsia="en-GB"/>
              </w:rPr>
              <w:t>rs</w:t>
            </w:r>
            <w:r w:rsidRPr="0003002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on institutional performance</w:t>
            </w:r>
          </w:p>
          <w:p w14:paraId="390BDD09" w14:textId="7D31B9B4" w:rsidR="00880547" w:rsidRPr="00880547" w:rsidRDefault="00880547" w:rsidP="0088054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564" w:rsidRPr="00415FF0" w14:paraId="697D19D6" w14:textId="77777777" w:rsidTr="00EC136B">
        <w:tc>
          <w:tcPr>
            <w:tcW w:w="472" w:type="dxa"/>
          </w:tcPr>
          <w:p w14:paraId="40515026" w14:textId="36193C2F" w:rsidR="00A44564" w:rsidRPr="00415FF0" w:rsidRDefault="00880547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86" w:type="dxa"/>
          </w:tcPr>
          <w:p w14:paraId="0A7C9C19" w14:textId="0D2D4EF4" w:rsidR="00A44564" w:rsidRPr="00415FF0" w:rsidRDefault="00237470" w:rsidP="00EC13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Business Intelligence Reporting</w:t>
            </w:r>
          </w:p>
        </w:tc>
      </w:tr>
      <w:tr w:rsidR="00CA4D1C" w:rsidRPr="00415FF0" w14:paraId="20EDF4EE" w14:textId="77777777" w:rsidTr="00EC136B">
        <w:tc>
          <w:tcPr>
            <w:tcW w:w="472" w:type="dxa"/>
          </w:tcPr>
          <w:p w14:paraId="7F550DC4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6" w:type="dxa"/>
          </w:tcPr>
          <w:p w14:paraId="38E783A6" w14:textId="77777777" w:rsidR="00880547" w:rsidRDefault="00880547" w:rsidP="00880547">
            <w:p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3D2097F" w14:textId="006C0A36" w:rsidR="0003002B" w:rsidRPr="00B515D0" w:rsidRDefault="0003002B" w:rsidP="000300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Work with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key 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stakeholders to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gather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business requirements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translate them 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>into technical spec</w:t>
            </w:r>
            <w:r w:rsidR="00886119">
              <w:rPr>
                <w:rFonts w:ascii="Arial" w:hAnsi="Arial" w:cs="Arial"/>
                <w:sz w:val="22"/>
                <w:szCs w:val="22"/>
                <w:lang w:eastAsia="en-GB"/>
              </w:rPr>
              <w:t>ification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</w:p>
          <w:p w14:paraId="2CFC8207" w14:textId="080A6DD9" w:rsidR="00B515D0" w:rsidRDefault="00415FF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>Using data visualisation tools such as Power BI, d</w:t>
            </w:r>
            <w:r w:rsidR="0016288D"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evelop </w:t>
            </w:r>
            <w:r w:rsidR="00FE7171"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a suite of performance reports of strategic 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operational </w:t>
            </w:r>
            <w:r w:rsidR="00FE7171" w:rsidRPr="00B515D0">
              <w:rPr>
                <w:rFonts w:ascii="Arial" w:hAnsi="Arial" w:cs="Arial"/>
                <w:sz w:val="22"/>
                <w:szCs w:val="22"/>
                <w:lang w:eastAsia="en-GB"/>
              </w:rPr>
              <w:t>importance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within the E&amp;SE domain</w:t>
            </w:r>
          </w:p>
          <w:p w14:paraId="77237E59" w14:textId="0A2EF326" w:rsidR="00B515D0" w:rsidRDefault="00B515D0" w:rsidP="00B515D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Connect to, clean, and </w:t>
            </w:r>
            <w:r w:rsidR="0003002B">
              <w:rPr>
                <w:rFonts w:ascii="Arial" w:hAnsi="Arial" w:cs="Arial"/>
                <w:sz w:val="22"/>
                <w:szCs w:val="22"/>
                <w:lang w:eastAsia="en-GB"/>
              </w:rPr>
              <w:t>prepare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data from multiple sources using </w:t>
            </w:r>
            <w:r w:rsidR="00886119">
              <w:rPr>
                <w:rFonts w:ascii="Arial" w:hAnsi="Arial" w:cs="Arial"/>
                <w:sz w:val="22"/>
                <w:szCs w:val="22"/>
                <w:lang w:eastAsia="en-GB"/>
              </w:rPr>
              <w:t xml:space="preserve">ETL techniques and </w:t>
            </w:r>
            <w:r w:rsidR="0003002B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tools such as 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>Power Query</w:t>
            </w:r>
            <w:r w:rsidR="00886119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(M)</w:t>
            </w:r>
          </w:p>
          <w:p w14:paraId="3DCACBB3" w14:textId="41841343" w:rsidR="00B515D0" w:rsidRDefault="00B515D0" w:rsidP="00B515D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Develop advanced measures, columns, and analytical calculations using </w:t>
            </w:r>
            <w:r w:rsidR="0003002B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code such as 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DAX </w:t>
            </w:r>
          </w:p>
          <w:p w14:paraId="229D74FA" w14:textId="566D1109" w:rsidR="00B515D0" w:rsidRDefault="00B515D0" w:rsidP="00B515D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>Optimi</w:t>
            </w:r>
            <w:r w:rsidR="0003002B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e data models and reports for performance, ensuring </w:t>
            </w:r>
            <w:r w:rsidR="0003002B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accuracy and </w:t>
            </w: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>fast load times</w:t>
            </w:r>
          </w:p>
          <w:p w14:paraId="70DCE490" w14:textId="77777777" w:rsidR="008C213B" w:rsidRDefault="008C213B" w:rsidP="008C21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Develop dynamic, interactive data visualisations that are simple to interpret</w:t>
            </w:r>
          </w:p>
          <w:p w14:paraId="76968A03" w14:textId="2254D813" w:rsidR="00CA4D1C" w:rsidRDefault="0003002B" w:rsidP="00B515D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Ensure that sensitive data is only accessible by appropriate individuals through </w:t>
            </w:r>
            <w:r w:rsidR="00B515D0">
              <w:rPr>
                <w:rFonts w:ascii="Arial" w:hAnsi="Arial" w:cs="Arial"/>
                <w:sz w:val="22"/>
                <w:szCs w:val="22"/>
                <w:lang w:eastAsia="en-GB"/>
              </w:rPr>
              <w:t>Row Level Security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 w:rsid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B515D0"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workspace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  <w:r w:rsidR="00B515D0"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nd app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settings, as well as other relevant data handling practices</w:t>
            </w:r>
          </w:p>
          <w:p w14:paraId="1D219A3B" w14:textId="77777777" w:rsidR="0003002B" w:rsidRDefault="0003002B" w:rsidP="000300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515D0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Provide ongoing maintenance of BI reports to ensure that they remain functional and up to date and that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they continue to meet end-user requirements</w:t>
            </w:r>
          </w:p>
          <w:p w14:paraId="08397FF1" w14:textId="77777777" w:rsidR="003626CB" w:rsidRPr="00415FF0" w:rsidRDefault="003626CB" w:rsidP="00366E5E">
            <w:p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CA4D1C" w:rsidRPr="00415FF0" w14:paraId="7ED13A2B" w14:textId="77777777" w:rsidTr="00EC136B">
        <w:tc>
          <w:tcPr>
            <w:tcW w:w="472" w:type="dxa"/>
          </w:tcPr>
          <w:p w14:paraId="63DA00A9" w14:textId="41A631FA" w:rsidR="00CA4D1C" w:rsidRPr="00415FF0" w:rsidRDefault="00880547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186" w:type="dxa"/>
          </w:tcPr>
          <w:p w14:paraId="3D58480F" w14:textId="77777777" w:rsidR="00CA4D1C" w:rsidRPr="00415FF0" w:rsidRDefault="006A29D6" w:rsidP="00EC13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Communication and </w:t>
            </w:r>
            <w:r w:rsidR="00AA69E6" w:rsidRPr="00415FF0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l</w:t>
            </w:r>
            <w:r w:rsidRPr="00415FF0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iaison</w:t>
            </w:r>
          </w:p>
        </w:tc>
      </w:tr>
      <w:tr w:rsidR="00CA4D1C" w:rsidRPr="00415FF0" w14:paraId="153BF192" w14:textId="77777777" w:rsidTr="00EC136B">
        <w:tc>
          <w:tcPr>
            <w:tcW w:w="472" w:type="dxa"/>
          </w:tcPr>
          <w:p w14:paraId="3BB171D7" w14:textId="77777777" w:rsidR="00CA4D1C" w:rsidRPr="00415FF0" w:rsidRDefault="00CA4D1C" w:rsidP="00EC13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86" w:type="dxa"/>
          </w:tcPr>
          <w:p w14:paraId="6686D9A1" w14:textId="77777777" w:rsidR="00880547" w:rsidRDefault="00880547" w:rsidP="00880547">
            <w:p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6FA48CF" w14:textId="24B24828" w:rsidR="00496870" w:rsidRPr="00415FF0" w:rsidRDefault="00496870" w:rsidP="004968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>Contribute to E&amp;SE projects and working groups</w:t>
            </w:r>
          </w:p>
          <w:p w14:paraId="21692671" w14:textId="4C9304F4" w:rsidR="00F344C1" w:rsidRPr="00415FF0" w:rsidRDefault="00F344C1" w:rsidP="00366E5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>Work with stakeholders and ‘product owners’ to gather and define requirements for data solutions</w:t>
            </w:r>
            <w:r w:rsidR="00237470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(e.g. Power BI)</w:t>
            </w:r>
          </w:p>
          <w:p w14:paraId="59F46EA7" w14:textId="77777777" w:rsidR="00400422" w:rsidRPr="00415FF0" w:rsidRDefault="00400422" w:rsidP="00366E5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>Work with data engineers, data modellers and data architects to ensure</w:t>
            </w:r>
            <w:r w:rsidR="00473831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that data pipelines meet business requirements</w:t>
            </w: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1145DFF3" w14:textId="77777777" w:rsidR="00F344C1" w:rsidRPr="00415FF0" w:rsidRDefault="00F344C1" w:rsidP="00366E5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Develop strong working relationships with </w:t>
            </w:r>
            <w:r w:rsidR="00473831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other </w:t>
            </w: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>analysts, BI developers and other colleagues across the university</w:t>
            </w:r>
          </w:p>
          <w:p w14:paraId="40AD3A9B" w14:textId="77777777" w:rsidR="00F344C1" w:rsidRPr="00415FF0" w:rsidRDefault="00F344C1" w:rsidP="00366E5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Support colleagues around the University to raise analytical capabilities </w:t>
            </w:r>
          </w:p>
          <w:p w14:paraId="3E4DF1E0" w14:textId="228155A2" w:rsidR="00496870" w:rsidRPr="00415FF0" w:rsidRDefault="00A43868" w:rsidP="004968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Develop and maintain </w:t>
            </w:r>
            <w:r w:rsidR="00AF384A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outward facing </w:t>
            </w:r>
            <w:r w:rsidR="00FE5C8C" w:rsidRPr="00415FF0">
              <w:rPr>
                <w:rFonts w:ascii="Arial" w:hAnsi="Arial" w:cs="Arial"/>
                <w:sz w:val="22"/>
                <w:szCs w:val="22"/>
                <w:lang w:eastAsia="en-GB"/>
              </w:rPr>
              <w:t>information</w:t>
            </w: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AF384A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(e.g. </w:t>
            </w:r>
            <w:r w:rsidR="00415FF0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Power BI, </w:t>
            </w:r>
            <w:r w:rsidR="00AF384A" w:rsidRPr="00415FF0">
              <w:rPr>
                <w:rFonts w:ascii="Arial" w:hAnsi="Arial" w:cs="Arial"/>
                <w:sz w:val="22"/>
                <w:szCs w:val="22"/>
                <w:lang w:eastAsia="en-GB"/>
              </w:rPr>
              <w:t>Teams, Share</w:t>
            </w:r>
            <w:r w:rsidR="00E24141" w:rsidRPr="00415FF0">
              <w:rPr>
                <w:rFonts w:ascii="Arial" w:hAnsi="Arial" w:cs="Arial"/>
                <w:sz w:val="22"/>
                <w:szCs w:val="22"/>
                <w:lang w:eastAsia="en-GB"/>
              </w:rPr>
              <w:t>P</w:t>
            </w:r>
            <w:r w:rsidR="00AF384A" w:rsidRPr="00415FF0">
              <w:rPr>
                <w:rFonts w:ascii="Arial" w:hAnsi="Arial" w:cs="Arial"/>
                <w:sz w:val="22"/>
                <w:szCs w:val="22"/>
                <w:lang w:eastAsia="en-GB"/>
              </w:rPr>
              <w:t>oint etc.)</w:t>
            </w:r>
          </w:p>
          <w:p w14:paraId="418F0739" w14:textId="77777777" w:rsidR="00CA4D1C" w:rsidRPr="00415FF0" w:rsidRDefault="00496870" w:rsidP="00415FF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>Work</w:t>
            </w:r>
            <w:r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with colleagues across the University to enhance data management processes</w:t>
            </w:r>
            <w:r w:rsidR="00415FF0" w:rsidRPr="00415FF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help</w:t>
            </w:r>
            <w:r w:rsidRPr="00415FF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improve the quality, accessibility and timeliness of data.</w:t>
            </w:r>
          </w:p>
          <w:p w14:paraId="5810BD53" w14:textId="5A68987D" w:rsidR="00415FF0" w:rsidRPr="00415FF0" w:rsidRDefault="00415FF0" w:rsidP="00415FF0">
            <w:pPr>
              <w:autoSpaceDE w:val="0"/>
              <w:autoSpaceDN w:val="0"/>
              <w:adjustRightInd w:val="0"/>
              <w:ind w:left="42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62" w:rsidRPr="00415FF0" w14:paraId="45D9E60E" w14:textId="77777777" w:rsidTr="00EC136B">
        <w:tc>
          <w:tcPr>
            <w:tcW w:w="8658" w:type="dxa"/>
            <w:gridSpan w:val="2"/>
          </w:tcPr>
          <w:p w14:paraId="37AF2E67" w14:textId="77777777" w:rsidR="00700462" w:rsidRPr="00415FF0" w:rsidRDefault="00700462" w:rsidP="00EC13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40061" w14:textId="6C01A5F9" w:rsidR="00700462" w:rsidRPr="00415FF0" w:rsidRDefault="00835A2D" w:rsidP="00EC136B">
            <w:pPr>
              <w:rPr>
                <w:rFonts w:ascii="Arial" w:hAnsi="Arial" w:cs="Arial"/>
                <w:sz w:val="22"/>
                <w:szCs w:val="22"/>
              </w:rPr>
            </w:pPr>
            <w:r w:rsidRPr="00415FF0">
              <w:rPr>
                <w:rFonts w:ascii="Arial" w:hAnsi="Arial" w:cs="Arial"/>
                <w:sz w:val="22"/>
                <w:szCs w:val="22"/>
              </w:rPr>
              <w:t xml:space="preserve">From time to time the </w:t>
            </w:r>
            <w:r w:rsidR="00C446F3">
              <w:rPr>
                <w:rFonts w:ascii="Arial" w:hAnsi="Arial" w:cs="Arial"/>
                <w:sz w:val="22"/>
                <w:szCs w:val="22"/>
              </w:rPr>
              <w:t>Insight Analyst</w:t>
            </w:r>
            <w:r w:rsidRPr="00415FF0">
              <w:rPr>
                <w:rFonts w:ascii="Arial" w:hAnsi="Arial" w:cs="Arial"/>
                <w:sz w:val="22"/>
                <w:szCs w:val="22"/>
              </w:rPr>
              <w:t xml:space="preserve"> will be required </w:t>
            </w:r>
            <w:r w:rsidR="00700462" w:rsidRPr="00415FF0">
              <w:rPr>
                <w:rFonts w:ascii="Arial" w:hAnsi="Arial" w:cs="Arial"/>
                <w:sz w:val="22"/>
                <w:szCs w:val="22"/>
              </w:rPr>
              <w:t>to undertake other duties of a similar nature as reasonab</w:t>
            </w:r>
            <w:r w:rsidRPr="00415FF0">
              <w:rPr>
                <w:rFonts w:ascii="Arial" w:hAnsi="Arial" w:cs="Arial"/>
                <w:sz w:val="22"/>
                <w:szCs w:val="22"/>
              </w:rPr>
              <w:t>ly required</w:t>
            </w:r>
            <w:r w:rsidR="00700462" w:rsidRPr="00415FF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6DF76B6" w14:textId="77777777" w:rsidR="00EC136B" w:rsidRPr="00415FF0" w:rsidRDefault="00EC136B" w:rsidP="00EC13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7E01D" w14:textId="77777777" w:rsidR="00F71275" w:rsidRDefault="00EC136B" w:rsidP="00366E5E">
      <w:pPr>
        <w:rPr>
          <w:rFonts w:ascii="Arial" w:hAnsi="Arial" w:cs="Arial"/>
          <w:b/>
          <w:bCs/>
          <w:sz w:val="23"/>
          <w:szCs w:val="28"/>
        </w:rPr>
      </w:pPr>
      <w:r>
        <w:rPr>
          <w:rFonts w:ascii="Arial" w:hAnsi="Arial" w:cs="Arial"/>
          <w:b/>
          <w:bCs/>
          <w:sz w:val="23"/>
          <w:szCs w:val="28"/>
        </w:rPr>
        <w:br w:type="page"/>
      </w:r>
      <w:r w:rsidR="00F71275">
        <w:rPr>
          <w:rFonts w:ascii="Arial" w:hAnsi="Arial" w:cs="Arial"/>
          <w:b/>
          <w:bCs/>
          <w:sz w:val="23"/>
          <w:szCs w:val="28"/>
        </w:rPr>
        <w:lastRenderedPageBreak/>
        <w:t>Person Specification</w:t>
      </w:r>
    </w:p>
    <w:p w14:paraId="32ADA8B4" w14:textId="77777777" w:rsidR="00F71275" w:rsidRDefault="00F71275" w:rsidP="00EC136B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8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1260"/>
        <w:gridCol w:w="1257"/>
        <w:gridCol w:w="543"/>
        <w:gridCol w:w="540"/>
        <w:gridCol w:w="450"/>
      </w:tblGrid>
      <w:tr w:rsidR="00F71275" w14:paraId="4022448E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D815" w14:textId="77777777" w:rsidR="00F71275" w:rsidRDefault="00F71275" w:rsidP="00EC136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38C77D8A" w14:textId="77777777" w:rsidR="00F71275" w:rsidRDefault="00F71275" w:rsidP="00EC136B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DDCA" w14:textId="77777777" w:rsidR="00F71275" w:rsidRDefault="00F71275" w:rsidP="00366E5E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733D" w14:textId="77777777" w:rsidR="00F71275" w:rsidRDefault="00F71275" w:rsidP="00366E5E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B15E" w14:textId="77777777" w:rsidR="00F71275" w:rsidRDefault="00F71275" w:rsidP="00366E5E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886119" w14:paraId="0ED10072" w14:textId="77777777" w:rsidTr="002374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7E2C" w14:textId="77777777" w:rsidR="00886119" w:rsidRDefault="00886119" w:rsidP="008861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2D5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FD6E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3FDA" w14:textId="06DF00C4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EC136B">
              <w:rPr>
                <w:rFonts w:ascii="Arial" w:hAnsi="Arial" w:cs="Arial"/>
              </w:rPr>
              <w:t>A/F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4E55" w14:textId="342D18E6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EC136B">
              <w:rPr>
                <w:rFonts w:ascii="Arial" w:hAnsi="Arial" w:cs="Arial"/>
              </w:rPr>
              <w:t>I/T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FF4C" w14:textId="41210426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EC136B">
              <w:rPr>
                <w:rFonts w:ascii="Arial" w:hAnsi="Arial" w:cs="Arial"/>
              </w:rPr>
              <w:t>R</w:t>
            </w:r>
          </w:p>
        </w:tc>
      </w:tr>
      <w:tr w:rsidR="00886119" w14:paraId="298ABC4B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D63B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Educated to at least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level or equivalent (postgraduate qualification desirable)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4D7B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2AE3C6E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2326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44D2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E62E1DD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B041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923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2F61E970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5632" w14:textId="428E2ECB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A-Level Mathematics or degree qualification in numerate subject (e.g. Data Science, Business Analytics, Economics</w:t>
            </w:r>
            <w:r w:rsidR="00936993">
              <w:rPr>
                <w:rFonts w:ascii="Arial" w:hAnsi="Arial" w:cs="Arial"/>
                <w:sz w:val="22"/>
                <w:szCs w:val="22"/>
              </w:rPr>
              <w:t>, Maths</w:t>
            </w:r>
            <w:r>
              <w:rPr>
                <w:rFonts w:ascii="Arial" w:hAnsi="Arial" w:cs="Arial"/>
                <w:sz w:val="22"/>
                <w:szCs w:val="22"/>
              </w:rPr>
              <w:t xml:space="preserve"> etc.)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AAE8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71F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7827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5A32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3928E477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7AD3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6FBCA521" w14:textId="77777777" w:rsidTr="002374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4008" w14:textId="77777777" w:rsidR="00886119" w:rsidRDefault="00886119" w:rsidP="0088611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64A6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03CE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C4F6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E403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2E57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33CB54D3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E7FD" w14:textId="4F6ECA96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analytics or insights functions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9846" w14:textId="77777777" w:rsidR="00886119" w:rsidRDefault="00886119" w:rsidP="0088611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7439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6A6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A88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D6C0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886119" w14:paraId="64633F92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EAA9" w14:textId="33AEDA85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current issues within the Higher Education sector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1E3B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5FD3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09C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E9E6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C9AA" w14:textId="77777777" w:rsidR="00886119" w:rsidRDefault="00886119" w:rsidP="00886119">
            <w:pPr>
              <w:jc w:val="center"/>
              <w:rPr>
                <w:rFonts w:ascii="Agency FB" w:hAnsi="Agency FB" w:cs="Arial"/>
                <w:color w:val="FF0000"/>
                <w:sz w:val="23"/>
                <w:szCs w:val="22"/>
              </w:rPr>
            </w:pPr>
          </w:p>
        </w:tc>
      </w:tr>
      <w:tr w:rsidR="00886119" w14:paraId="1D7A0CA4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A273" w14:textId="7E820125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and experience with data warehousing, data modelling and relational data structures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EA86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DAD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355E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0BE5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4B9A" w14:textId="77777777" w:rsidR="00886119" w:rsidRDefault="00886119" w:rsidP="00886119">
            <w:pPr>
              <w:jc w:val="center"/>
              <w:rPr>
                <w:rFonts w:ascii="Agency FB" w:hAnsi="Agency FB" w:cs="Arial"/>
                <w:color w:val="FF0000"/>
                <w:sz w:val="23"/>
                <w:szCs w:val="22"/>
              </w:rPr>
            </w:pPr>
          </w:p>
        </w:tc>
      </w:tr>
      <w:tr w:rsidR="00886119" w14:paraId="450318E2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C42B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data management best practices (e.g. data governance, data protection etc.)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A899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BC8A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D480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E83A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B59C" w14:textId="77777777" w:rsidR="00886119" w:rsidRDefault="00886119" w:rsidP="00886119">
            <w:pPr>
              <w:jc w:val="center"/>
              <w:rPr>
                <w:rFonts w:ascii="Agency FB" w:hAnsi="Agency FB" w:cs="Arial"/>
                <w:color w:val="FF0000"/>
                <w:sz w:val="23"/>
                <w:szCs w:val="22"/>
              </w:rPr>
            </w:pPr>
          </w:p>
        </w:tc>
      </w:tr>
      <w:tr w:rsidR="00886119" w14:paraId="1661C62A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6FA5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Experience of the extracting, cleansing and preparing complex datasets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2B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B688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727F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4BFB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877F" w14:textId="77777777" w:rsidR="00886119" w:rsidRDefault="00886119" w:rsidP="00886119">
            <w:pPr>
              <w:jc w:val="center"/>
              <w:rPr>
                <w:rFonts w:ascii="Agency FB" w:hAnsi="Agency FB" w:cs="Arial"/>
                <w:color w:val="FF0000"/>
                <w:sz w:val="23"/>
                <w:szCs w:val="22"/>
              </w:rPr>
            </w:pPr>
          </w:p>
        </w:tc>
      </w:tr>
      <w:tr w:rsidR="00886119" w14:paraId="0D61DDC0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077C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Ability to produce succinct, well-argued reports and narratives.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EBC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E374" w14:textId="77777777" w:rsidR="00886119" w:rsidRPr="00366E5E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93A8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8EEB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7CA7" w14:textId="77777777" w:rsidR="00886119" w:rsidRDefault="00886119" w:rsidP="00886119">
            <w:pPr>
              <w:jc w:val="center"/>
              <w:rPr>
                <w:rFonts w:ascii="Agency FB" w:hAnsi="Agency FB" w:cs="Arial"/>
                <w:color w:val="FF0000"/>
                <w:sz w:val="23"/>
                <w:szCs w:val="22"/>
              </w:rPr>
            </w:pPr>
          </w:p>
        </w:tc>
      </w:tr>
      <w:tr w:rsidR="00886119" w14:paraId="2FE35C03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C25F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in working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independently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limited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supervision</w:t>
            </w:r>
            <w:r>
              <w:rPr>
                <w:rFonts w:ascii="Arial" w:hAnsi="Arial" w:cs="Arial"/>
                <w:sz w:val="22"/>
                <w:szCs w:val="22"/>
              </w:rPr>
              <w:t>, including experience in prioritising and working to deadlines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BC7C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1748B232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F723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E4CA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E283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A037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886119" w14:paraId="08D6A215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A6A6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taking responsibility for the delivery of outcomes and ownership of distinct pieces of work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F3AF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886C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56D9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A4D6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9610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886119" w14:paraId="040BB17B" w14:textId="77777777" w:rsidTr="002374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B0EF" w14:textId="77777777" w:rsidR="00886119" w:rsidRDefault="00886119" w:rsidP="008861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883C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1D3F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BD3F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FF09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04B7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740B1980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7CB9" w14:textId="77777777" w:rsidR="00886119" w:rsidRPr="00EC136B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numerical skills (e.g. ability to apply statistical concepts)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9228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F746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2441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93C6" w14:textId="77777777" w:rsidR="00886119" w:rsidRPr="00366E5E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FBAE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886119" w14:paraId="6FEC8616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4CA" w14:textId="4D413C38" w:rsidR="00886119" w:rsidRPr="00EC136B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code in a variety of languages such as Python, R, SQL, DAX, M etc.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1BC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48F7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D5C4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9639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D044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886119" w14:paraId="51389AB5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DB79" w14:textId="77777777" w:rsidR="00886119" w:rsidRDefault="00886119" w:rsidP="0088611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data visualisation skills (e.g. Power BI, Tableau etc.)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96EF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30D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2556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126E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FD06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4E8C9181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EF32" w14:textId="77777777" w:rsidR="00886119" w:rsidRDefault="00886119" w:rsidP="0088611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F1AE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99F8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F4D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2F81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3C3C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1E2B9DA3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D530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organisational, research and project management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4550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F4B8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FB7B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5FD9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CA37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705DDAE0" w14:textId="77777777" w:rsidTr="002374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4126" w14:textId="77777777" w:rsidR="00886119" w:rsidRDefault="00886119" w:rsidP="008861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F47F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6DA0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638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E1B4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579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12AEE55B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A4DB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Capacity to work flexibly and cope with competing demands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4B8A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A8C7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A440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E970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64BF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886119" w14:paraId="24536A68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9219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Independent thinker and creative problem-solver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B236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6F06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15DE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B393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E4A5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40F30D1F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D0CE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Enthusiastic with a positive approach to new challenges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2B14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799B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F2E4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0EE2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F02F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21F6DA9A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3421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acquire new knowledge and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B5F9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DF15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095D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FB5E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2308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886119" w14:paraId="2F7AFED6" w14:textId="77777777" w:rsidTr="00366E5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009E" w14:textId="77777777" w:rsidR="00886119" w:rsidRDefault="00886119" w:rsidP="00886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present a professional image of the team at all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697D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D42E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8E2D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274B" w14:textId="77777777" w:rsidR="00886119" w:rsidRDefault="00886119" w:rsidP="0088611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507A" w14:textId="77777777" w:rsidR="00886119" w:rsidRDefault="00886119" w:rsidP="0088611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08D2B191" w14:textId="77777777" w:rsidR="00F71275" w:rsidRDefault="00F71275" w:rsidP="00EC136B">
      <w:pPr>
        <w:rPr>
          <w:rFonts w:ascii="Arial" w:hAnsi="Arial" w:cs="Arial"/>
          <w:sz w:val="23"/>
          <w:szCs w:val="22"/>
        </w:rPr>
      </w:pPr>
    </w:p>
    <w:p w14:paraId="73ECE744" w14:textId="3D7376FD" w:rsidR="003973B7" w:rsidRPr="00237470" w:rsidRDefault="00F71275" w:rsidP="00EC136B">
      <w:pPr>
        <w:rPr>
          <w:rFonts w:ascii="Arial" w:hAnsi="Arial" w:cs="Arial"/>
          <w:sz w:val="16"/>
          <w:szCs w:val="16"/>
        </w:rPr>
      </w:pPr>
      <w:r w:rsidRPr="00237470">
        <w:rPr>
          <w:rFonts w:ascii="Arial" w:hAnsi="Arial" w:cs="Arial"/>
          <w:sz w:val="16"/>
          <w:szCs w:val="16"/>
        </w:rPr>
        <w:t>Code: A/F – Application form, I/T – Interview/Test, R – References</w:t>
      </w:r>
    </w:p>
    <w:sectPr w:rsidR="003973B7" w:rsidRPr="00237470" w:rsidSect="00EC136B">
      <w:footerReference w:type="default" r:id="rId11"/>
      <w:pgSz w:w="11906" w:h="16838"/>
      <w:pgMar w:top="1224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2655" w14:textId="77777777" w:rsidR="006D4928" w:rsidRDefault="006D4928">
      <w:r>
        <w:separator/>
      </w:r>
    </w:p>
  </w:endnote>
  <w:endnote w:type="continuationSeparator" w:id="0">
    <w:p w14:paraId="459DD35C" w14:textId="77777777" w:rsidR="006D4928" w:rsidRDefault="006D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1D15" w14:textId="053BDF8D" w:rsidR="00693A71" w:rsidRPr="009C096B" w:rsidRDefault="00693A71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DA39CF">
      <w:rPr>
        <w:rFonts w:ascii="Arial" w:hAnsi="Arial" w:cs="Arial"/>
        <w:noProof/>
      </w:rPr>
      <w:t>3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5634BA">
      <w:rPr>
        <w:rFonts w:ascii="Arial" w:hAnsi="Arial" w:cs="Arial"/>
        <w:noProof/>
      </w:rPr>
      <w:t>13/04/2026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C831" w14:textId="77777777" w:rsidR="006D4928" w:rsidRDefault="006D4928">
      <w:r>
        <w:separator/>
      </w:r>
    </w:p>
  </w:footnote>
  <w:footnote w:type="continuationSeparator" w:id="0">
    <w:p w14:paraId="47419DBE" w14:textId="77777777" w:rsidR="006D4928" w:rsidRDefault="006D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9CD"/>
    <w:multiLevelType w:val="hybridMultilevel"/>
    <w:tmpl w:val="EE32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422"/>
    <w:multiLevelType w:val="hybridMultilevel"/>
    <w:tmpl w:val="0AD6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6F86"/>
    <w:multiLevelType w:val="hybridMultilevel"/>
    <w:tmpl w:val="F6548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501E"/>
    <w:multiLevelType w:val="hybridMultilevel"/>
    <w:tmpl w:val="9C7E0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36CE"/>
    <w:multiLevelType w:val="hybridMultilevel"/>
    <w:tmpl w:val="B7ACB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816EB"/>
    <w:multiLevelType w:val="hybridMultilevel"/>
    <w:tmpl w:val="42AE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24B5"/>
    <w:multiLevelType w:val="hybridMultilevel"/>
    <w:tmpl w:val="0AD6F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14BF"/>
    <w:multiLevelType w:val="hybridMultilevel"/>
    <w:tmpl w:val="3BB02518"/>
    <w:lvl w:ilvl="0" w:tplc="AC12A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D174B"/>
    <w:multiLevelType w:val="hybridMultilevel"/>
    <w:tmpl w:val="82407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936AB"/>
    <w:multiLevelType w:val="hybridMultilevel"/>
    <w:tmpl w:val="4912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653"/>
    <w:multiLevelType w:val="hybridMultilevel"/>
    <w:tmpl w:val="BB2C2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366D8"/>
    <w:multiLevelType w:val="hybridMultilevel"/>
    <w:tmpl w:val="703AB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C7739"/>
    <w:multiLevelType w:val="hybridMultilevel"/>
    <w:tmpl w:val="ABFA2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2901">
    <w:abstractNumId w:val="3"/>
  </w:num>
  <w:num w:numId="2" w16cid:durableId="1837913386">
    <w:abstractNumId w:val="7"/>
  </w:num>
  <w:num w:numId="3" w16cid:durableId="1653756683">
    <w:abstractNumId w:val="4"/>
  </w:num>
  <w:num w:numId="4" w16cid:durableId="337660486">
    <w:abstractNumId w:val="1"/>
  </w:num>
  <w:num w:numId="5" w16cid:durableId="428701736">
    <w:abstractNumId w:val="8"/>
  </w:num>
  <w:num w:numId="6" w16cid:durableId="1988045468">
    <w:abstractNumId w:val="0"/>
  </w:num>
  <w:num w:numId="7" w16cid:durableId="1672680221">
    <w:abstractNumId w:val="9"/>
  </w:num>
  <w:num w:numId="8" w16cid:durableId="1947809562">
    <w:abstractNumId w:val="2"/>
  </w:num>
  <w:num w:numId="9" w16cid:durableId="294064079">
    <w:abstractNumId w:val="10"/>
  </w:num>
  <w:num w:numId="10" w16cid:durableId="919604187">
    <w:abstractNumId w:val="11"/>
  </w:num>
  <w:num w:numId="11" w16cid:durableId="67188480">
    <w:abstractNumId w:val="12"/>
  </w:num>
  <w:num w:numId="12" w16cid:durableId="820854793">
    <w:abstractNumId w:val="5"/>
  </w:num>
  <w:num w:numId="13" w16cid:durableId="1724400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200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452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597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435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3CC8"/>
    <w:rsid w:val="00020AE6"/>
    <w:rsid w:val="0003002B"/>
    <w:rsid w:val="00040B67"/>
    <w:rsid w:val="000640ED"/>
    <w:rsid w:val="0007364C"/>
    <w:rsid w:val="000739D1"/>
    <w:rsid w:val="00083B74"/>
    <w:rsid w:val="000854F1"/>
    <w:rsid w:val="000928FF"/>
    <w:rsid w:val="000A3E32"/>
    <w:rsid w:val="000B4535"/>
    <w:rsid w:val="000C5316"/>
    <w:rsid w:val="000C623D"/>
    <w:rsid w:val="000C7347"/>
    <w:rsid w:val="000D2990"/>
    <w:rsid w:val="000E22B1"/>
    <w:rsid w:val="000E5095"/>
    <w:rsid w:val="00102BEF"/>
    <w:rsid w:val="00105581"/>
    <w:rsid w:val="00122205"/>
    <w:rsid w:val="00160AE4"/>
    <w:rsid w:val="0016288D"/>
    <w:rsid w:val="00164024"/>
    <w:rsid w:val="001712F5"/>
    <w:rsid w:val="0017327A"/>
    <w:rsid w:val="001774B0"/>
    <w:rsid w:val="00177C0B"/>
    <w:rsid w:val="00184302"/>
    <w:rsid w:val="00192C08"/>
    <w:rsid w:val="001942FB"/>
    <w:rsid w:val="0019469F"/>
    <w:rsid w:val="001A1040"/>
    <w:rsid w:val="001C60B0"/>
    <w:rsid w:val="001D0DF2"/>
    <w:rsid w:val="001E3C39"/>
    <w:rsid w:val="001E5419"/>
    <w:rsid w:val="001E5A5B"/>
    <w:rsid w:val="001F0D17"/>
    <w:rsid w:val="001F20BF"/>
    <w:rsid w:val="002000AC"/>
    <w:rsid w:val="00201B4F"/>
    <w:rsid w:val="00204B4F"/>
    <w:rsid w:val="002074C0"/>
    <w:rsid w:val="00220875"/>
    <w:rsid w:val="002239B2"/>
    <w:rsid w:val="00237470"/>
    <w:rsid w:val="00237C9C"/>
    <w:rsid w:val="00243882"/>
    <w:rsid w:val="00264133"/>
    <w:rsid w:val="00273DDD"/>
    <w:rsid w:val="002752EF"/>
    <w:rsid w:val="00277FF9"/>
    <w:rsid w:val="002819A4"/>
    <w:rsid w:val="00284E38"/>
    <w:rsid w:val="0028790A"/>
    <w:rsid w:val="002B1542"/>
    <w:rsid w:val="002B7774"/>
    <w:rsid w:val="002B7BDE"/>
    <w:rsid w:val="002D08C1"/>
    <w:rsid w:val="002D0DA0"/>
    <w:rsid w:val="003033BB"/>
    <w:rsid w:val="00326034"/>
    <w:rsid w:val="00326A80"/>
    <w:rsid w:val="00332A61"/>
    <w:rsid w:val="0033746E"/>
    <w:rsid w:val="003421CC"/>
    <w:rsid w:val="00346356"/>
    <w:rsid w:val="003626CB"/>
    <w:rsid w:val="00365B20"/>
    <w:rsid w:val="00366E5E"/>
    <w:rsid w:val="0037713D"/>
    <w:rsid w:val="0038225F"/>
    <w:rsid w:val="003973B7"/>
    <w:rsid w:val="003B54F3"/>
    <w:rsid w:val="003B61F1"/>
    <w:rsid w:val="003C0188"/>
    <w:rsid w:val="003C20DD"/>
    <w:rsid w:val="003C4AB5"/>
    <w:rsid w:val="003D46F1"/>
    <w:rsid w:val="003E0A05"/>
    <w:rsid w:val="003E1BD4"/>
    <w:rsid w:val="003F0EE4"/>
    <w:rsid w:val="003F3D78"/>
    <w:rsid w:val="003F72EB"/>
    <w:rsid w:val="00400422"/>
    <w:rsid w:val="00415FF0"/>
    <w:rsid w:val="004160F8"/>
    <w:rsid w:val="004206DB"/>
    <w:rsid w:val="00423C7C"/>
    <w:rsid w:val="00425679"/>
    <w:rsid w:val="00430A27"/>
    <w:rsid w:val="004326DE"/>
    <w:rsid w:val="00452D8F"/>
    <w:rsid w:val="004601C8"/>
    <w:rsid w:val="00464D6E"/>
    <w:rsid w:val="00473831"/>
    <w:rsid w:val="004749ED"/>
    <w:rsid w:val="00482E36"/>
    <w:rsid w:val="00487276"/>
    <w:rsid w:val="004952C6"/>
    <w:rsid w:val="004952DD"/>
    <w:rsid w:val="00496870"/>
    <w:rsid w:val="004E2691"/>
    <w:rsid w:val="004F311E"/>
    <w:rsid w:val="004F3926"/>
    <w:rsid w:val="00502CF3"/>
    <w:rsid w:val="00530DFA"/>
    <w:rsid w:val="00545918"/>
    <w:rsid w:val="005467AA"/>
    <w:rsid w:val="00556982"/>
    <w:rsid w:val="00557E4E"/>
    <w:rsid w:val="005634BA"/>
    <w:rsid w:val="005828E2"/>
    <w:rsid w:val="00584721"/>
    <w:rsid w:val="00591CA9"/>
    <w:rsid w:val="005931BE"/>
    <w:rsid w:val="00594D8E"/>
    <w:rsid w:val="005A0EB9"/>
    <w:rsid w:val="005A6F0B"/>
    <w:rsid w:val="005B764B"/>
    <w:rsid w:val="005C4391"/>
    <w:rsid w:val="005D3C16"/>
    <w:rsid w:val="005D559D"/>
    <w:rsid w:val="005D5C9B"/>
    <w:rsid w:val="005E2073"/>
    <w:rsid w:val="005F13D3"/>
    <w:rsid w:val="005F1AFC"/>
    <w:rsid w:val="005F34EB"/>
    <w:rsid w:val="0060737B"/>
    <w:rsid w:val="0061313A"/>
    <w:rsid w:val="006169DE"/>
    <w:rsid w:val="0063086A"/>
    <w:rsid w:val="00644A6A"/>
    <w:rsid w:val="00652B1A"/>
    <w:rsid w:val="006569D4"/>
    <w:rsid w:val="006640C3"/>
    <w:rsid w:val="00665CC7"/>
    <w:rsid w:val="00665DAD"/>
    <w:rsid w:val="00671DC7"/>
    <w:rsid w:val="00673051"/>
    <w:rsid w:val="00687AF5"/>
    <w:rsid w:val="006937F0"/>
    <w:rsid w:val="00693A71"/>
    <w:rsid w:val="00694F28"/>
    <w:rsid w:val="0069511A"/>
    <w:rsid w:val="006955A3"/>
    <w:rsid w:val="006A29D6"/>
    <w:rsid w:val="006B310B"/>
    <w:rsid w:val="006C272C"/>
    <w:rsid w:val="006C3137"/>
    <w:rsid w:val="006C5B11"/>
    <w:rsid w:val="006D4928"/>
    <w:rsid w:val="006D5356"/>
    <w:rsid w:val="006E2A2F"/>
    <w:rsid w:val="00700462"/>
    <w:rsid w:val="00702AD4"/>
    <w:rsid w:val="007036C3"/>
    <w:rsid w:val="00715041"/>
    <w:rsid w:val="00715D5D"/>
    <w:rsid w:val="00720245"/>
    <w:rsid w:val="00731135"/>
    <w:rsid w:val="00732D3B"/>
    <w:rsid w:val="00737DA8"/>
    <w:rsid w:val="00741065"/>
    <w:rsid w:val="007561A5"/>
    <w:rsid w:val="00763139"/>
    <w:rsid w:val="00771238"/>
    <w:rsid w:val="0077471E"/>
    <w:rsid w:val="00781589"/>
    <w:rsid w:val="00784F47"/>
    <w:rsid w:val="007902BF"/>
    <w:rsid w:val="00790EEE"/>
    <w:rsid w:val="00793F77"/>
    <w:rsid w:val="007A151D"/>
    <w:rsid w:val="007A4B63"/>
    <w:rsid w:val="007C412C"/>
    <w:rsid w:val="007C4731"/>
    <w:rsid w:val="007C5F5C"/>
    <w:rsid w:val="007D146E"/>
    <w:rsid w:val="007D1F97"/>
    <w:rsid w:val="007E1424"/>
    <w:rsid w:val="007E65D8"/>
    <w:rsid w:val="007F5F25"/>
    <w:rsid w:val="00801D85"/>
    <w:rsid w:val="00805A60"/>
    <w:rsid w:val="00814621"/>
    <w:rsid w:val="00822DDD"/>
    <w:rsid w:val="00824A2F"/>
    <w:rsid w:val="00830991"/>
    <w:rsid w:val="00832861"/>
    <w:rsid w:val="00834110"/>
    <w:rsid w:val="00835A2D"/>
    <w:rsid w:val="0084268B"/>
    <w:rsid w:val="0085046D"/>
    <w:rsid w:val="00850CD8"/>
    <w:rsid w:val="0086035A"/>
    <w:rsid w:val="008711E8"/>
    <w:rsid w:val="0088020C"/>
    <w:rsid w:val="00880547"/>
    <w:rsid w:val="00886119"/>
    <w:rsid w:val="008C10E3"/>
    <w:rsid w:val="008C213B"/>
    <w:rsid w:val="008C3087"/>
    <w:rsid w:val="008C5554"/>
    <w:rsid w:val="008D010F"/>
    <w:rsid w:val="008D27AF"/>
    <w:rsid w:val="008D376A"/>
    <w:rsid w:val="008E2602"/>
    <w:rsid w:val="008E348B"/>
    <w:rsid w:val="008E57FE"/>
    <w:rsid w:val="008E5CC9"/>
    <w:rsid w:val="008E771F"/>
    <w:rsid w:val="008F6512"/>
    <w:rsid w:val="0090358F"/>
    <w:rsid w:val="00905F9F"/>
    <w:rsid w:val="00906293"/>
    <w:rsid w:val="00914234"/>
    <w:rsid w:val="00914616"/>
    <w:rsid w:val="00914A09"/>
    <w:rsid w:val="009237C0"/>
    <w:rsid w:val="00926481"/>
    <w:rsid w:val="00936993"/>
    <w:rsid w:val="0095268A"/>
    <w:rsid w:val="00954FA7"/>
    <w:rsid w:val="00960BA0"/>
    <w:rsid w:val="00983CDC"/>
    <w:rsid w:val="00990094"/>
    <w:rsid w:val="00993ADC"/>
    <w:rsid w:val="009B6948"/>
    <w:rsid w:val="009C1A7B"/>
    <w:rsid w:val="009C72F3"/>
    <w:rsid w:val="009D3FEE"/>
    <w:rsid w:val="009E1601"/>
    <w:rsid w:val="009E369C"/>
    <w:rsid w:val="009E3EAA"/>
    <w:rsid w:val="009E5B33"/>
    <w:rsid w:val="00A06164"/>
    <w:rsid w:val="00A10BF7"/>
    <w:rsid w:val="00A13D79"/>
    <w:rsid w:val="00A25491"/>
    <w:rsid w:val="00A2578D"/>
    <w:rsid w:val="00A4235B"/>
    <w:rsid w:val="00A43868"/>
    <w:rsid w:val="00A44564"/>
    <w:rsid w:val="00A50611"/>
    <w:rsid w:val="00A520BC"/>
    <w:rsid w:val="00A56816"/>
    <w:rsid w:val="00A57716"/>
    <w:rsid w:val="00A622BC"/>
    <w:rsid w:val="00A714A8"/>
    <w:rsid w:val="00A71EC6"/>
    <w:rsid w:val="00A8769B"/>
    <w:rsid w:val="00A917E8"/>
    <w:rsid w:val="00A92D54"/>
    <w:rsid w:val="00A9491E"/>
    <w:rsid w:val="00AA082E"/>
    <w:rsid w:val="00AA69E6"/>
    <w:rsid w:val="00AC598A"/>
    <w:rsid w:val="00AD7F6F"/>
    <w:rsid w:val="00AE3C7B"/>
    <w:rsid w:val="00AE55C8"/>
    <w:rsid w:val="00AF2AAC"/>
    <w:rsid w:val="00AF37E3"/>
    <w:rsid w:val="00AF384A"/>
    <w:rsid w:val="00AF63CC"/>
    <w:rsid w:val="00B07C45"/>
    <w:rsid w:val="00B218CF"/>
    <w:rsid w:val="00B365D3"/>
    <w:rsid w:val="00B41748"/>
    <w:rsid w:val="00B475A2"/>
    <w:rsid w:val="00B515D0"/>
    <w:rsid w:val="00B57849"/>
    <w:rsid w:val="00B57D8E"/>
    <w:rsid w:val="00B6621D"/>
    <w:rsid w:val="00B81F26"/>
    <w:rsid w:val="00B86D55"/>
    <w:rsid w:val="00BC47C4"/>
    <w:rsid w:val="00BD773C"/>
    <w:rsid w:val="00BF0033"/>
    <w:rsid w:val="00BF1E1F"/>
    <w:rsid w:val="00C2087B"/>
    <w:rsid w:val="00C24D49"/>
    <w:rsid w:val="00C25CC9"/>
    <w:rsid w:val="00C40143"/>
    <w:rsid w:val="00C446F3"/>
    <w:rsid w:val="00C47845"/>
    <w:rsid w:val="00C53366"/>
    <w:rsid w:val="00C56685"/>
    <w:rsid w:val="00C722C0"/>
    <w:rsid w:val="00C85166"/>
    <w:rsid w:val="00C85DD6"/>
    <w:rsid w:val="00CA3C49"/>
    <w:rsid w:val="00CA4D1C"/>
    <w:rsid w:val="00CA55DD"/>
    <w:rsid w:val="00CA7786"/>
    <w:rsid w:val="00CD0AC3"/>
    <w:rsid w:val="00CD182A"/>
    <w:rsid w:val="00CD19F1"/>
    <w:rsid w:val="00CE578C"/>
    <w:rsid w:val="00CF3F80"/>
    <w:rsid w:val="00CF624C"/>
    <w:rsid w:val="00D10FE0"/>
    <w:rsid w:val="00D241E6"/>
    <w:rsid w:val="00D3668B"/>
    <w:rsid w:val="00D36C25"/>
    <w:rsid w:val="00D4342E"/>
    <w:rsid w:val="00D44E06"/>
    <w:rsid w:val="00D71E7B"/>
    <w:rsid w:val="00D84B06"/>
    <w:rsid w:val="00D96D5B"/>
    <w:rsid w:val="00DA0B99"/>
    <w:rsid w:val="00DA21ED"/>
    <w:rsid w:val="00DA39CF"/>
    <w:rsid w:val="00DD203B"/>
    <w:rsid w:val="00DD691F"/>
    <w:rsid w:val="00DF28F2"/>
    <w:rsid w:val="00DF33C9"/>
    <w:rsid w:val="00E0021B"/>
    <w:rsid w:val="00E0219C"/>
    <w:rsid w:val="00E16A5D"/>
    <w:rsid w:val="00E221FB"/>
    <w:rsid w:val="00E24141"/>
    <w:rsid w:val="00E253DB"/>
    <w:rsid w:val="00E30399"/>
    <w:rsid w:val="00E308F3"/>
    <w:rsid w:val="00E4553F"/>
    <w:rsid w:val="00E476AB"/>
    <w:rsid w:val="00E5118F"/>
    <w:rsid w:val="00E73D22"/>
    <w:rsid w:val="00E8399C"/>
    <w:rsid w:val="00E83AFF"/>
    <w:rsid w:val="00E9533A"/>
    <w:rsid w:val="00EA1FE8"/>
    <w:rsid w:val="00EB5313"/>
    <w:rsid w:val="00EB6E93"/>
    <w:rsid w:val="00EC136B"/>
    <w:rsid w:val="00EF3CE7"/>
    <w:rsid w:val="00F0220B"/>
    <w:rsid w:val="00F0252A"/>
    <w:rsid w:val="00F07724"/>
    <w:rsid w:val="00F07777"/>
    <w:rsid w:val="00F233D2"/>
    <w:rsid w:val="00F253A6"/>
    <w:rsid w:val="00F25519"/>
    <w:rsid w:val="00F32AF5"/>
    <w:rsid w:val="00F344C1"/>
    <w:rsid w:val="00F3588E"/>
    <w:rsid w:val="00F50797"/>
    <w:rsid w:val="00F70616"/>
    <w:rsid w:val="00F71275"/>
    <w:rsid w:val="00F7332B"/>
    <w:rsid w:val="00F80367"/>
    <w:rsid w:val="00F8228B"/>
    <w:rsid w:val="00F82AA3"/>
    <w:rsid w:val="00F93819"/>
    <w:rsid w:val="00F957AE"/>
    <w:rsid w:val="00FA3159"/>
    <w:rsid w:val="00FD0A3C"/>
    <w:rsid w:val="00FE1C94"/>
    <w:rsid w:val="00FE3731"/>
    <w:rsid w:val="00FE41EB"/>
    <w:rsid w:val="00FE5C8C"/>
    <w:rsid w:val="00FE7171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99A79"/>
  <w15:chartTrackingRefBased/>
  <w15:docId w15:val="{C1560C25-3A02-47BC-8504-DC835DFA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62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73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D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73D2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38225F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38225F"/>
    <w:rPr>
      <w:rFonts w:ascii="Arial" w:hAnsi="Arial" w:cs="Arial"/>
      <w:sz w:val="22"/>
      <w:lang w:eastAsia="en-US"/>
    </w:rPr>
  </w:style>
  <w:style w:type="paragraph" w:customStyle="1" w:styleId="Default">
    <w:name w:val="Default"/>
    <w:rsid w:val="00F25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2E3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3AC3731E249AEF492571BB63753" ma:contentTypeVersion="14" ma:contentTypeDescription="Create a new document." ma:contentTypeScope="" ma:versionID="e512d9ec750aa7c217746ac3dcede4d8">
  <xsd:schema xmlns:xsd="http://www.w3.org/2001/XMLSchema" xmlns:xs="http://www.w3.org/2001/XMLSchema" xmlns:p="http://schemas.microsoft.com/office/2006/metadata/properties" xmlns:ns2="932b9181-5199-4284-a060-a23e4c35f521" xmlns:ns3="3e9a7fdb-7095-4767-a2bc-b4ce7385ad95" targetNamespace="http://schemas.microsoft.com/office/2006/metadata/properties" ma:root="true" ma:fieldsID="4a7f0a7b311d4236234302b2287d4473" ns2:_="" ns3:_="">
    <xsd:import namespace="932b9181-5199-4284-a060-a23e4c35f521"/>
    <xsd:import namespace="3e9a7fdb-7095-4767-a2bc-b4ce7385a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b9181-5199-4284-a060-a23e4c35f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7fdb-7095-4767-a2bc-b4ce7385a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6336c3-a4ed-4602-9217-8d79352427c7}" ma:internalName="TaxCatchAll" ma:showField="CatchAllData" ma:web="3e9a7fdb-7095-4767-a2bc-b4ce7385a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b9181-5199-4284-a060-a23e4c35f521">
      <Terms xmlns="http://schemas.microsoft.com/office/infopath/2007/PartnerControls"/>
    </lcf76f155ced4ddcb4097134ff3c332f>
    <TaxCatchAll xmlns="3e9a7fdb-7095-4767-a2bc-b4ce7385ad9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CDE77-5800-45C2-B10F-EBCFDCCDC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b9181-5199-4284-a060-a23e4c35f521"/>
    <ds:schemaRef ds:uri="3e9a7fdb-7095-4767-a2bc-b4ce7385a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68E13-745C-4A6E-9C05-63D7382026CB}">
  <ds:schemaRefs>
    <ds:schemaRef ds:uri="http://schemas.microsoft.com/office/2006/metadata/properties"/>
    <ds:schemaRef ds:uri="http://schemas.microsoft.com/office/infopath/2007/PartnerControls"/>
    <ds:schemaRef ds:uri="932b9181-5199-4284-a060-a23e4c35f521"/>
    <ds:schemaRef ds:uri="3e9a7fdb-7095-4767-a2bc-b4ce7385ad95"/>
  </ds:schemaRefs>
</ds:datastoreItem>
</file>

<file path=customXml/itemProps3.xml><?xml version="1.0" encoding="utf-8"?>
<ds:datastoreItem xmlns:ds="http://schemas.openxmlformats.org/officeDocument/2006/customXml" ds:itemID="{97DEEE3E-E363-4C5F-9F3A-3A067D676A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c8e38f-1201-4b06-939f-990c98dd26c2}" enabled="1" method="Privileged" siteId="{377e3d22-4ea1-422d-b0ad-8fcc89406b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dc:description/>
  <cp:lastModifiedBy>Graham Brooks</cp:lastModifiedBy>
  <cp:revision>22</cp:revision>
  <cp:lastPrinted>2012-10-24T00:38:00Z</cp:lastPrinted>
  <dcterms:created xsi:type="dcterms:W3CDTF">2026-03-27T23:16:00Z</dcterms:created>
  <dcterms:modified xsi:type="dcterms:W3CDTF">2026-04-13T08:45:00Z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0x010100BF0623AC3731E249AEF492571BB63753</vt:lpwstr>
  </property>
</Properties>
</file>